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Pr="00377AC2" w:rsidRDefault="00377AC2">
      <w:pPr>
        <w:rPr>
          <w:rFonts w:ascii="Times New Roman" w:hAnsi="Times New Roman" w:cs="Times New Roman"/>
          <w:b/>
          <w:sz w:val="28"/>
          <w:szCs w:val="28"/>
        </w:rPr>
      </w:pPr>
      <w:r w:rsidRPr="00377AC2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377AC2" w:rsidRPr="00377AC2" w:rsidRDefault="00377AC2" w:rsidP="00377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AC2">
        <w:rPr>
          <w:rFonts w:ascii="Times New Roman" w:hAnsi="Times New Roman" w:cs="Times New Roman"/>
          <w:sz w:val="28"/>
          <w:szCs w:val="28"/>
        </w:rPr>
        <w:t>Федеральным законом  от 31.12.2014 № 505 внесены изменения в законы РФ «Об общественных объединениях», «О некоммерческих организациях», «О свободе совести и о религиозных объединениях»  о запрете  лицам,  ранее являвшимся руководителем или входившим в состав руководящего органа общественного или религиозного объединения либо иной организации, в отношении которых в порядке закона «О противодействии экстремистской деятельности либо «О противодействии  терроризму» судом принято вступившее в</w:t>
      </w:r>
      <w:proofErr w:type="gramEnd"/>
      <w:r w:rsidRPr="00377AC2">
        <w:rPr>
          <w:rFonts w:ascii="Times New Roman" w:hAnsi="Times New Roman" w:cs="Times New Roman"/>
          <w:sz w:val="28"/>
          <w:szCs w:val="28"/>
        </w:rPr>
        <w:t xml:space="preserve"> силу решение о ликвидации либо запрете  деятельности  организации,  вновь становиться руководителями  или учредителями таких организаций в течение 10 лет со дня вступления в силу соответствующего решения суда.</w:t>
      </w:r>
    </w:p>
    <w:sectPr w:rsidR="00377AC2" w:rsidRPr="00377AC2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AC2"/>
    <w:rsid w:val="00377AC2"/>
    <w:rsid w:val="0044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2015-02-09T12:45:00Z</dcterms:created>
  <dcterms:modified xsi:type="dcterms:W3CDTF">2015-02-09T12:46:00Z</dcterms:modified>
</cp:coreProperties>
</file>